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rFonts w:ascii="Arial" w:cs="Arial" w:eastAsia="Arial" w:hAnsi="Arial"/>
          <w:b/>
          <w:bCs/>
          <w:color w:val="20262C"/>
          <w:sz w:val="34"/>
          <w:szCs w:val="34"/>
        </w:rPr>
        <w:t xml:space="preserve">Porównanie powierzchni — karta wyjaśnienia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Adres nieruchomości i zakres świadectwa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Numer świadectwa i data sporządzenia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pStyle w:val="Heading2"/>
      </w:pPr>
      <w:r>
        <w:rPr>
          <w:rFonts w:ascii="Arial" w:cs="Arial" w:eastAsia="Arial" w:hAnsi="Arial"/>
          <w:b/>
          <w:bCs/>
          <w:color w:val="20262C"/>
          <w:sz w:val="24"/>
          <w:szCs w:val="24"/>
        </w:rPr>
        <w:t xml:space="preserve">Świadectwo — powierzchnia użytkowa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Wartość i jednostka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Dokument, strona i dokładna nazwa pola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Zakres uwzględnionych pomieszczeń; jeżeli nieznany — brak informacji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pStyle w:val="Heading2"/>
      </w:pPr>
      <w:r>
        <w:rPr>
          <w:rFonts w:ascii="Arial" w:cs="Arial" w:eastAsia="Arial" w:hAnsi="Arial"/>
          <w:b/>
          <w:bCs/>
          <w:color w:val="20262C"/>
          <w:sz w:val="24"/>
          <w:szCs w:val="24"/>
        </w:rPr>
        <w:t xml:space="preserve">Świadectwo — powierzchnia o regulowanej temperaturze Af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Wartość i jednostka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Dokument, strona i dokładna nazwa pola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Zakres uwzględnionych pomieszczeń; jeżeli nieznany — brak informacji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pStyle w:val="Heading2"/>
      </w:pPr>
      <w:r>
        <w:rPr>
          <w:rFonts w:ascii="Arial" w:cs="Arial" w:eastAsia="Arial" w:hAnsi="Arial"/>
          <w:b/>
          <w:bCs/>
          <w:color w:val="20262C"/>
          <w:sz w:val="24"/>
          <w:szCs w:val="24"/>
        </w:rPr>
        <w:t xml:space="preserve">Akt / inny dokument z powierzchnią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Wartość i jednostka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Dokument, strona i dokładna nazwa pola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Zakres uwzględnionych pomieszczeń; jeżeli nieznany — brak informacji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pStyle w:val="Heading2"/>
      </w:pPr>
      <w:r>
        <w:rPr>
          <w:rFonts w:ascii="Arial" w:cs="Arial" w:eastAsia="Arial" w:hAnsi="Arial"/>
          <w:b/>
          <w:bCs/>
          <w:color w:val="20262C"/>
          <w:sz w:val="24"/>
          <w:szCs w:val="24"/>
        </w:rPr>
        <w:t xml:space="preserve">Do wyjaśnienia z autorem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Które pomieszczenia różnią zakresy?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Skosy, garaż, piwnica, pomieszczenia przynależne — co wymaga ustalenia?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Załączniki i pytanie do autora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262C"/>
        <w:sz w:val="22"/>
        <w:szCs w:val="22"/>
      </w:rPr>
    </w:rPrDefault>
    <w:pPrDefault>
      <w:pPr>
        <w:spacing w:after="18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keepNext/>
      <w:spacing w:after="400"/>
    </w:pPr>
    <w:rPr>
      <w:b/>
      <w:bCs/>
      <w:sz w:val="34"/>
      <w:szCs w:val="34"/>
    </w:rPr>
  </w:style>
  <w:style w:type="paragraph" w:styleId="Heading2">
    <w:name w:val="Heading 2"/>
    <w:basedOn w:val="Normal"/>
    <w:next w:val="Normal"/>
    <w:pPr>
      <w:keepNext/>
      <w:spacing w:before="260" w:after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Porównanie powierzchni — karta wyjaśnienia</dc:title>
  <dc:creator>Un-named</dc:creator>
  <dc:description>Propozycja redakcji. Wersja 2026-10-15.1; nie jest formularzem urzędowym.</dc:description>
  <cp:lastModifiedBy>Un-named</cp:lastModifiedBy>
  <cp:revision>1</cp:revision>
  <dcterms:created xsi:type="dcterms:W3CDTF">2026-10-17T08:05:22.509Z</dcterms:created>
  <dcterms:modified xsi:type="dcterms:W3CDTF">2026-10-17T08:05:22.509Z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